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139A" w14:textId="4462ABAA" w:rsidR="001309F0" w:rsidRDefault="001309F0" w:rsidP="00410D6F">
      <w:pPr>
        <w:widowControl w:val="0"/>
        <w:adjustRightInd w:val="0"/>
        <w:ind w:left="-630"/>
        <w:jc w:val="center"/>
        <w:rPr>
          <w:rFonts w:ascii="Arial" w:hAnsi="Arial" w:cs="Arial"/>
          <w:b/>
          <w:bCs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CIRCULAR EXTERNA </w:t>
      </w:r>
      <w:r w:rsidR="00860F8D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007 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DE 2021</w:t>
      </w:r>
    </w:p>
    <w:p w14:paraId="26A109F5" w14:textId="77777777" w:rsidR="00EA3224" w:rsidRPr="00410D6F" w:rsidRDefault="00EA3224" w:rsidP="00410D6F">
      <w:pPr>
        <w:widowControl w:val="0"/>
        <w:adjustRightInd w:val="0"/>
        <w:ind w:left="-630"/>
        <w:jc w:val="center"/>
        <w:rPr>
          <w:rFonts w:ascii="Arial" w:hAnsi="Arial" w:cs="Arial"/>
          <w:b/>
          <w:bCs/>
          <w:sz w:val="24"/>
          <w:szCs w:val="24"/>
          <w:lang w:val="es-ES" w:eastAsia="es-CO"/>
        </w:rPr>
      </w:pPr>
    </w:p>
    <w:p w14:paraId="1648D037" w14:textId="577994DB" w:rsidR="001309F0" w:rsidRPr="00410D6F" w:rsidRDefault="001309F0" w:rsidP="00410D6F">
      <w:pPr>
        <w:widowControl w:val="0"/>
        <w:adjustRightInd w:val="0"/>
        <w:ind w:left="-630"/>
        <w:jc w:val="center"/>
        <w:rPr>
          <w:rFonts w:ascii="Arial" w:hAnsi="Arial" w:cs="Arial"/>
          <w:b/>
          <w:bCs/>
          <w:sz w:val="24"/>
          <w:szCs w:val="24"/>
          <w:lang w:val="es-ES" w:eastAsia="es-CO"/>
        </w:rPr>
      </w:pPr>
      <w:proofErr w:type="gramStart"/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( </w:t>
      </w:r>
      <w:r w:rsidR="00860F8D">
        <w:rPr>
          <w:rFonts w:ascii="Arial" w:hAnsi="Arial" w:cs="Arial"/>
          <w:b/>
          <w:bCs/>
          <w:sz w:val="24"/>
          <w:szCs w:val="24"/>
          <w:lang w:val="es-ES" w:eastAsia="es-CO"/>
        </w:rPr>
        <w:t>Abril</w:t>
      </w:r>
      <w:proofErr w:type="gramEnd"/>
      <w:r w:rsidR="00860F8D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26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)</w:t>
      </w:r>
    </w:p>
    <w:p w14:paraId="02689C96" w14:textId="59A16D4E" w:rsidR="001309F0" w:rsidRDefault="001309F0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20EB25F3" w14:textId="77777777" w:rsidR="004C28F1" w:rsidRPr="00410D6F" w:rsidRDefault="004C28F1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024BC85D" w14:textId="77777777" w:rsidR="001309F0" w:rsidRPr="00410D6F" w:rsidRDefault="001309F0" w:rsidP="00410D6F">
      <w:pPr>
        <w:widowControl w:val="0"/>
        <w:adjustRightInd w:val="0"/>
        <w:ind w:left="-630"/>
        <w:outlineLvl w:val="0"/>
        <w:rPr>
          <w:rFonts w:ascii="Arial" w:hAnsi="Arial" w:cs="Arial"/>
          <w:b/>
          <w:bCs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Señores</w:t>
      </w:r>
    </w:p>
    <w:p w14:paraId="30524F29" w14:textId="77777777" w:rsidR="001309F0" w:rsidRPr="00410D6F" w:rsidRDefault="001309F0" w:rsidP="00410D6F">
      <w:pPr>
        <w:widowControl w:val="0"/>
        <w:adjustRightInd w:val="0"/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>REPRESENTANTES LEGALES Y REVISORES FISCALES DE LAS ENTIDADES ASEGURADORAS, SOCIEDADES DE CAPITALIZACIÓN Y SOCIEDADES ADMINISTRADORAS DE FONDOS DE PENSIONES Y CESANTÍAS</w:t>
      </w:r>
    </w:p>
    <w:p w14:paraId="60B3AB49" w14:textId="781BA23B" w:rsidR="001309F0" w:rsidRDefault="001309F0" w:rsidP="00410D6F">
      <w:pPr>
        <w:widowControl w:val="0"/>
        <w:adjustRightInd w:val="0"/>
        <w:ind w:left="-630"/>
        <w:rPr>
          <w:rFonts w:ascii="Arial" w:hAnsi="Arial" w:cs="Arial"/>
          <w:bCs/>
          <w:sz w:val="24"/>
          <w:szCs w:val="24"/>
          <w:lang w:val="es-ES" w:eastAsia="es-CO"/>
        </w:rPr>
      </w:pPr>
    </w:p>
    <w:p w14:paraId="572BB229" w14:textId="77777777" w:rsidR="004C28F1" w:rsidRPr="00410D6F" w:rsidRDefault="004C28F1" w:rsidP="00410D6F">
      <w:pPr>
        <w:widowControl w:val="0"/>
        <w:adjustRightInd w:val="0"/>
        <w:ind w:left="-630"/>
        <w:rPr>
          <w:rFonts w:ascii="Arial" w:hAnsi="Arial" w:cs="Arial"/>
          <w:bCs/>
          <w:sz w:val="24"/>
          <w:szCs w:val="24"/>
          <w:lang w:val="es-ES" w:eastAsia="es-CO"/>
        </w:rPr>
      </w:pPr>
    </w:p>
    <w:p w14:paraId="67BEE815" w14:textId="11B43DE1" w:rsidR="001309F0" w:rsidRPr="00410D6F" w:rsidRDefault="001309F0" w:rsidP="00410D6F">
      <w:pPr>
        <w:widowControl w:val="0"/>
        <w:adjustRightInd w:val="0"/>
        <w:ind w:left="-630"/>
        <w:jc w:val="both"/>
        <w:rPr>
          <w:rFonts w:ascii="Arial" w:hAnsi="Arial" w:cs="Arial"/>
          <w:b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Referencia: Instrucciones relacionadas con </w:t>
      </w:r>
      <w:r w:rsidR="00501969"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los procesos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de inversión de los recursos de los fondos de pensiones obligatorias y cesantías, y de las reservas de las entidades aseguradoras y sociedades de capitalización.</w:t>
      </w:r>
    </w:p>
    <w:p w14:paraId="21DA624B" w14:textId="425EAB22" w:rsidR="001309F0" w:rsidRDefault="001309F0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44D801D5" w14:textId="77777777" w:rsidR="004C28F1" w:rsidRPr="00410D6F" w:rsidRDefault="004C28F1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51F9A9F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>Apreciados señores:</w:t>
      </w:r>
    </w:p>
    <w:p w14:paraId="71FA56F2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21EBBA0A" w14:textId="77777777" w:rsidR="005E1200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El Decreto 1393 de 2020 </w:t>
      </w:r>
      <w:r w:rsidR="005E1200">
        <w:rPr>
          <w:rFonts w:ascii="Arial" w:hAnsi="Arial" w:cs="Arial"/>
          <w:sz w:val="24"/>
          <w:szCs w:val="24"/>
          <w:lang w:val="es-ES" w:eastAsia="es-CO"/>
        </w:rPr>
        <w:t>introdujo alg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unos cambios </w:t>
      </w:r>
      <w:r w:rsidR="005E1200">
        <w:rPr>
          <w:rFonts w:ascii="Arial" w:hAnsi="Arial" w:cs="Arial"/>
          <w:sz w:val="24"/>
          <w:szCs w:val="24"/>
          <w:lang w:val="es-ES" w:eastAsia="es-CO"/>
        </w:rPr>
        <w:t>en e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l régimen de inversión de las sociedades administradoras de fondos de pensiones y cesantías, y de las reservas de las entidades aseguradoras y sociedades de capitalización. Estos cambios se orientan a promover una adecuada diversificación de los portafolios de inversión y el calce del balance. </w:t>
      </w:r>
    </w:p>
    <w:p w14:paraId="7FD89F4D" w14:textId="77777777" w:rsidR="005E1200" w:rsidRDefault="005E120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533FBA0B" w14:textId="7C9166C7" w:rsidR="0013421C" w:rsidRPr="00410D6F" w:rsidRDefault="005A4865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En 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virtud de lo anterior, esta Superintendencia considera necesario instruir a las citadas entidades en </w:t>
      </w:r>
      <w:r w:rsidRPr="00410D6F">
        <w:rPr>
          <w:rFonts w:ascii="Arial" w:hAnsi="Arial" w:cs="Arial"/>
          <w:sz w:val="24"/>
          <w:szCs w:val="24"/>
          <w:lang w:val="es-ES" w:eastAsia="es-CO"/>
        </w:rPr>
        <w:t>relaci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ón 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con </w:t>
      </w:r>
      <w:r w:rsidR="005B5444" w:rsidRPr="00410D6F">
        <w:rPr>
          <w:rFonts w:ascii="Arial" w:hAnsi="Arial" w:cs="Arial"/>
          <w:sz w:val="24"/>
          <w:szCs w:val="24"/>
          <w:lang w:val="es-ES" w:eastAsia="es-CO"/>
        </w:rPr>
        <w:t xml:space="preserve">los procesos de inversiones </w:t>
      </w:r>
      <w:r w:rsidR="00F05210" w:rsidRPr="00410D6F">
        <w:rPr>
          <w:rFonts w:ascii="Arial" w:hAnsi="Arial" w:cs="Arial"/>
          <w:sz w:val="24"/>
          <w:szCs w:val="24"/>
          <w:lang w:val="es-ES" w:eastAsia="es-CO"/>
        </w:rPr>
        <w:t>y la gestión de riesgos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, así como </w:t>
      </w:r>
      <w:r w:rsidR="009B2B60" w:rsidRPr="00410D6F">
        <w:rPr>
          <w:rFonts w:ascii="Arial" w:hAnsi="Arial" w:cs="Arial"/>
          <w:sz w:val="24"/>
          <w:szCs w:val="24"/>
          <w:lang w:val="es-ES" w:eastAsia="es-CO"/>
        </w:rPr>
        <w:t>la</w:t>
      </w:r>
      <w:r w:rsidR="006716AD" w:rsidRPr="00410D6F">
        <w:rPr>
          <w:rFonts w:ascii="Arial" w:hAnsi="Arial" w:cs="Arial"/>
          <w:sz w:val="24"/>
          <w:szCs w:val="24"/>
          <w:lang w:val="es-ES" w:eastAsia="es-CO"/>
        </w:rPr>
        <w:t xml:space="preserve"> inclusión de 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factores </w:t>
      </w:r>
      <w:r w:rsidR="00C51012">
        <w:rPr>
          <w:rFonts w:ascii="Arial" w:hAnsi="Arial" w:cs="Arial"/>
          <w:sz w:val="24"/>
          <w:szCs w:val="24"/>
          <w:lang w:val="es-ES" w:eastAsia="es-CO"/>
        </w:rPr>
        <w:t xml:space="preserve">ambientales, sociales </w:t>
      </w:r>
      <w:r w:rsidR="00CD5521">
        <w:rPr>
          <w:rFonts w:ascii="Arial" w:hAnsi="Arial" w:cs="Arial"/>
          <w:sz w:val="24"/>
          <w:szCs w:val="24"/>
          <w:lang w:val="es-ES" w:eastAsia="es-CO"/>
        </w:rPr>
        <w:t>y de gobierno corporativo (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>ASG</w:t>
      </w:r>
      <w:r w:rsidR="00CD5521">
        <w:rPr>
          <w:rFonts w:ascii="Arial" w:hAnsi="Arial" w:cs="Arial"/>
          <w:sz w:val="24"/>
          <w:szCs w:val="24"/>
          <w:lang w:val="es-ES" w:eastAsia="es-CO"/>
        </w:rPr>
        <w:t>)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 y climáticos como riesgos relevantes </w:t>
      </w:r>
      <w:r w:rsidR="00B93A43" w:rsidRPr="00410D6F">
        <w:rPr>
          <w:rFonts w:ascii="Arial" w:hAnsi="Arial" w:cs="Arial"/>
          <w:sz w:val="24"/>
          <w:szCs w:val="24"/>
          <w:lang w:val="es-ES" w:eastAsia="es-CO"/>
        </w:rPr>
        <w:t xml:space="preserve">para los portafolios </w:t>
      </w:r>
      <w:r w:rsidR="009B2B60" w:rsidRPr="00410D6F">
        <w:rPr>
          <w:rFonts w:ascii="Arial" w:hAnsi="Arial" w:cs="Arial"/>
          <w:sz w:val="24"/>
          <w:szCs w:val="24"/>
          <w:lang w:val="es-ES" w:eastAsia="es-CO"/>
        </w:rPr>
        <w:t>de inversiones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 y </w:t>
      </w:r>
      <w:r w:rsidR="00B93A43" w:rsidRPr="00410D6F">
        <w:rPr>
          <w:rFonts w:ascii="Arial" w:hAnsi="Arial" w:cs="Arial"/>
          <w:sz w:val="24"/>
          <w:szCs w:val="24"/>
          <w:lang w:val="es-ES" w:eastAsia="es-CO"/>
        </w:rPr>
        <w:t xml:space="preserve">su integración 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en los procesos de tomas de </w:t>
      </w:r>
      <w:r w:rsidR="00501969" w:rsidRPr="00410D6F">
        <w:rPr>
          <w:rFonts w:ascii="Arial" w:hAnsi="Arial" w:cs="Arial"/>
          <w:sz w:val="24"/>
          <w:szCs w:val="24"/>
          <w:lang w:val="es-ES" w:eastAsia="es-CO"/>
        </w:rPr>
        <w:t>decisiones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 de </w:t>
      </w:r>
      <w:r w:rsidR="00501969" w:rsidRPr="00410D6F">
        <w:rPr>
          <w:rFonts w:ascii="Arial" w:hAnsi="Arial" w:cs="Arial"/>
          <w:sz w:val="24"/>
          <w:szCs w:val="24"/>
          <w:lang w:val="es-ES" w:eastAsia="es-CO"/>
        </w:rPr>
        <w:t>inversión</w:t>
      </w:r>
      <w:r w:rsidR="00B93A43" w:rsidRPr="00410D6F">
        <w:rPr>
          <w:rFonts w:ascii="Arial" w:hAnsi="Arial" w:cs="Arial"/>
          <w:sz w:val="24"/>
          <w:szCs w:val="24"/>
          <w:lang w:val="es-ES" w:eastAsia="es-CO"/>
        </w:rPr>
        <w:t>.</w:t>
      </w:r>
    </w:p>
    <w:p w14:paraId="46371DEB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4B838F58" w14:textId="1825228C" w:rsidR="001309F0" w:rsidRPr="00410D6F" w:rsidRDefault="005E120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>
        <w:rPr>
          <w:rFonts w:ascii="Arial" w:hAnsi="Arial" w:cs="Arial"/>
          <w:sz w:val="24"/>
          <w:szCs w:val="24"/>
          <w:lang w:val="es-ES" w:eastAsia="es-CO"/>
        </w:rPr>
        <w:t>En consecuencia, esta Superintendencia e</w:t>
      </w:r>
      <w:r w:rsidR="001309F0" w:rsidRPr="00410D6F">
        <w:rPr>
          <w:rFonts w:ascii="Arial" w:hAnsi="Arial" w:cs="Arial"/>
          <w:sz w:val="24"/>
          <w:szCs w:val="24"/>
          <w:lang w:val="es-ES" w:eastAsia="es-CO"/>
        </w:rPr>
        <w:t>n ejercicio de las facultades incorporadas en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 xml:space="preserve"> el literal a) del numeral 3 del artículo 326 del Estatuto Orgánico del Sistema Financiero,</w:t>
      </w:r>
      <w:r w:rsidR="001309F0" w:rsidRPr="00410D6F">
        <w:rPr>
          <w:rFonts w:ascii="Arial" w:hAnsi="Arial" w:cs="Arial"/>
          <w:sz w:val="24"/>
          <w:szCs w:val="24"/>
          <w:lang w:val="es-ES" w:eastAsia="es-CO"/>
        </w:rPr>
        <w:t xml:space="preserve"> los artículos 2.6.12.1.3, 2.6.13.1.1 y 2.31.3.1.3 </w:t>
      </w:r>
      <w:r w:rsidR="001309F0" w:rsidRPr="00410D6F">
        <w:rPr>
          <w:rFonts w:ascii="Arial" w:hAnsi="Arial" w:cs="Arial"/>
          <w:sz w:val="24"/>
          <w:szCs w:val="24"/>
          <w:lang w:val="es-CO" w:eastAsia="es-CO"/>
        </w:rPr>
        <w:t xml:space="preserve">y los numerales 4 y 5 del artículo 11.2.1.4.2. del Decreto 2555 de 2010, </w:t>
      </w:r>
      <w:r w:rsidR="001309F0" w:rsidRPr="00410D6F">
        <w:rPr>
          <w:rFonts w:ascii="Arial" w:hAnsi="Arial" w:cs="Arial"/>
          <w:sz w:val="24"/>
          <w:szCs w:val="24"/>
          <w:lang w:val="es-ES" w:eastAsia="es-CO"/>
        </w:rPr>
        <w:t>imparte las siguientes instrucciones:</w:t>
      </w:r>
    </w:p>
    <w:p w14:paraId="111F0E0B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6F6A8520" w14:textId="3185223C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PRIMERA.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Modificar el Capítulo IV del Título III de la Parte II de la Circular Básica Jurídica, en lo relativo a las políticas de inversión y funciones de los comités de inversiones y de riesgos de las sociedades administradoras de fondos de pensiones y cesantías. </w:t>
      </w:r>
    </w:p>
    <w:p w14:paraId="64820140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6A76F25A" w14:textId="35422F88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SEGUNDA. </w:t>
      </w:r>
      <w:r w:rsidRPr="00410D6F">
        <w:rPr>
          <w:rFonts w:ascii="Arial" w:hAnsi="Arial" w:cs="Arial"/>
          <w:sz w:val="24"/>
          <w:szCs w:val="24"/>
          <w:lang w:val="es-ES" w:eastAsia="es-CO"/>
        </w:rPr>
        <w:t>Adicionar los subnumerales 2.2.8 y 2.2.9 al Capítulo II del Título IV de la Parte II de la Circular Básica Jurídica, relacionado</w:t>
      </w:r>
      <w:r w:rsidR="001633B9">
        <w:rPr>
          <w:rFonts w:ascii="Arial" w:hAnsi="Arial" w:cs="Arial"/>
          <w:sz w:val="24"/>
          <w:szCs w:val="24"/>
          <w:lang w:val="es-ES" w:eastAsia="es-CO"/>
        </w:rPr>
        <w:t>s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con el proceso de inversiones del portafolio que respalda las reservas técnicas de las entidades aseguradoras.</w:t>
      </w:r>
    </w:p>
    <w:p w14:paraId="703C5B6E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568C8B03" w14:textId="495D918A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TERCERA.</w:t>
      </w:r>
      <w:r w:rsidR="004C4C68"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>Adicionar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el Anexo 15 del Título IV de la Parte II de la Circular Básica Jurídica, denominado “Política de inversión y gobernanza de la gestión de las inversiones de las entidades aseguradoras”.</w:t>
      </w:r>
    </w:p>
    <w:p w14:paraId="68BDDC43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56B7DEF0" w14:textId="47264D32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CUARTA.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Adicionar los subnumerales 3.4, 3.5, 3.6 y 3.7 al Capítulo I del Título IV de la Parte II de la Circular Básica Jurídica, 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relacionados con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e</w:t>
      </w:r>
      <w:r w:rsidRPr="00410D6F">
        <w:rPr>
          <w:rFonts w:ascii="Arial" w:hAnsi="Arial" w:cs="Arial"/>
          <w:sz w:val="24"/>
          <w:szCs w:val="24"/>
          <w:lang w:val="es-ES" w:eastAsia="es-CO"/>
        </w:rPr>
        <w:t>l proceso de inversiones del portafolio que respalda las reservas técnicas de las sociedades capitalizadoras.</w:t>
      </w:r>
    </w:p>
    <w:p w14:paraId="66F08CE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355A7374" w14:textId="76F4C075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QUINTA.</w:t>
      </w:r>
      <w:r w:rsidR="004C4C68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TRANSICI</w:t>
      </w:r>
      <w:r w:rsidR="00026223"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Ó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N.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>L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as entidades aseguradoras y sociedades de capitalización deben </w:t>
      </w:r>
      <w:r w:rsidR="69BBB6D5" w:rsidRPr="00410D6F">
        <w:rPr>
          <w:rFonts w:ascii="Arial" w:hAnsi="Arial" w:cs="Arial"/>
          <w:sz w:val="24"/>
          <w:szCs w:val="24"/>
          <w:lang w:val="es-ES" w:eastAsia="es-CO"/>
        </w:rPr>
        <w:t xml:space="preserve">presentar ante la Superintendencia Financiera </w:t>
      </w:r>
      <w:r w:rsidR="66841613" w:rsidRPr="00410D6F">
        <w:rPr>
          <w:rFonts w:ascii="Arial" w:hAnsi="Arial" w:cs="Arial"/>
          <w:sz w:val="24"/>
          <w:szCs w:val="24"/>
          <w:lang w:val="es-ES" w:eastAsia="es-CO"/>
        </w:rPr>
        <w:t xml:space="preserve">a más tardar el 26 de julio de </w:t>
      </w:r>
      <w:r w:rsidR="66841613" w:rsidRPr="00410D6F">
        <w:rPr>
          <w:rFonts w:ascii="Arial" w:hAnsi="Arial" w:cs="Arial"/>
          <w:sz w:val="24"/>
          <w:szCs w:val="24"/>
          <w:lang w:val="es-ES" w:eastAsia="es-CO"/>
        </w:rPr>
        <w:lastRenderedPageBreak/>
        <w:t xml:space="preserve">2021 </w:t>
      </w:r>
      <w:r w:rsidR="00FB36DF">
        <w:rPr>
          <w:rFonts w:ascii="Arial" w:hAnsi="Arial" w:cs="Arial"/>
          <w:sz w:val="24"/>
          <w:szCs w:val="24"/>
          <w:lang w:val="es-ES" w:eastAsia="es-CO"/>
        </w:rPr>
        <w:t>el</w:t>
      </w:r>
      <w:r w:rsidR="69BBB6D5" w:rsidRPr="00410D6F">
        <w:rPr>
          <w:rFonts w:ascii="Arial" w:hAnsi="Arial" w:cs="Arial"/>
          <w:sz w:val="24"/>
          <w:szCs w:val="24"/>
          <w:lang w:val="es-ES" w:eastAsia="es-CO"/>
        </w:rPr>
        <w:t xml:space="preserve"> plan de implementación de las </w:t>
      </w:r>
      <w:r w:rsidR="00997187">
        <w:rPr>
          <w:rFonts w:ascii="Arial" w:hAnsi="Arial" w:cs="Arial"/>
          <w:sz w:val="24"/>
          <w:szCs w:val="24"/>
          <w:lang w:val="es-ES" w:eastAsia="es-CO"/>
        </w:rPr>
        <w:t>disposiciones d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el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Decreto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 xml:space="preserve"> 1393 de 2020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="00686E39" w:rsidRPr="00410D6F">
        <w:rPr>
          <w:rFonts w:ascii="Arial" w:hAnsi="Arial" w:cs="Arial"/>
          <w:sz w:val="24"/>
          <w:szCs w:val="24"/>
          <w:lang w:val="es-ES" w:eastAsia="es-CO"/>
        </w:rPr>
        <w:t>y las contenidas en la presente Circular</w:t>
      </w:r>
      <w:r w:rsidRPr="00410D6F">
        <w:rPr>
          <w:rFonts w:ascii="Arial" w:hAnsi="Arial" w:cs="Arial"/>
          <w:sz w:val="24"/>
          <w:szCs w:val="24"/>
          <w:lang w:val="es-ES" w:eastAsia="es-CO"/>
        </w:rPr>
        <w:t>.</w:t>
      </w:r>
      <w:r w:rsidR="04B5342C" w:rsidRPr="00410D6F">
        <w:rPr>
          <w:rFonts w:ascii="Arial" w:hAnsi="Arial" w:cs="Arial"/>
          <w:sz w:val="24"/>
          <w:szCs w:val="24"/>
          <w:lang w:val="es-ES" w:eastAsia="es-CO"/>
        </w:rPr>
        <w:t xml:space="preserve"> El plan de implementación debe 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contemplar</w:t>
      </w:r>
      <w:r w:rsidR="04B5342C" w:rsidRPr="00410D6F">
        <w:rPr>
          <w:rFonts w:ascii="Arial" w:hAnsi="Arial" w:cs="Arial"/>
          <w:sz w:val="24"/>
          <w:szCs w:val="24"/>
          <w:lang w:val="es-ES" w:eastAsia="es-CO"/>
        </w:rPr>
        <w:t xml:space="preserve"> la adopción </w:t>
      </w:r>
      <w:r w:rsidR="00B641CA">
        <w:rPr>
          <w:rFonts w:ascii="Arial" w:hAnsi="Arial" w:cs="Arial"/>
          <w:sz w:val="24"/>
          <w:szCs w:val="24"/>
          <w:lang w:val="es-ES" w:eastAsia="es-CO"/>
        </w:rPr>
        <w:t xml:space="preserve">integral </w:t>
      </w:r>
      <w:r w:rsidR="04B5342C" w:rsidRPr="00410D6F">
        <w:rPr>
          <w:rFonts w:ascii="Arial" w:hAnsi="Arial" w:cs="Arial"/>
          <w:sz w:val="24"/>
          <w:szCs w:val="24"/>
          <w:lang w:val="es-ES" w:eastAsia="es-CO"/>
        </w:rPr>
        <w:t xml:space="preserve">de las instrucciones a más tardar </w:t>
      </w:r>
      <w:r w:rsidR="47A7E95B" w:rsidRPr="00410D6F">
        <w:rPr>
          <w:rFonts w:ascii="Arial" w:hAnsi="Arial" w:cs="Arial"/>
          <w:sz w:val="24"/>
          <w:szCs w:val="24"/>
          <w:lang w:val="es-ES" w:eastAsia="es-CO"/>
        </w:rPr>
        <w:t>el 25 de abril de 2022</w:t>
      </w:r>
      <w:r w:rsidR="322781D7" w:rsidRPr="00410D6F">
        <w:rPr>
          <w:rFonts w:ascii="Arial" w:hAnsi="Arial" w:cs="Arial"/>
          <w:sz w:val="24"/>
          <w:szCs w:val="24"/>
          <w:lang w:val="es-ES" w:eastAsia="es-CO"/>
        </w:rPr>
        <w:t xml:space="preserve">, sin perjuicio que </w:t>
      </w:r>
      <w:r w:rsidR="005F39CE">
        <w:rPr>
          <w:rFonts w:ascii="Arial" w:hAnsi="Arial" w:cs="Arial"/>
          <w:sz w:val="24"/>
          <w:szCs w:val="24"/>
          <w:lang w:val="es-ES" w:eastAsia="es-CO"/>
        </w:rPr>
        <w:t xml:space="preserve">las entidades que decidan </w:t>
      </w:r>
      <w:r w:rsidR="008E6431">
        <w:rPr>
          <w:rFonts w:ascii="Arial" w:hAnsi="Arial" w:cs="Arial"/>
          <w:sz w:val="24"/>
          <w:szCs w:val="24"/>
          <w:lang w:val="es-ES" w:eastAsia="es-CO"/>
        </w:rPr>
        <w:t xml:space="preserve">puedan </w:t>
      </w:r>
      <w:r w:rsidR="005F39CE">
        <w:rPr>
          <w:rFonts w:ascii="Arial" w:hAnsi="Arial" w:cs="Arial"/>
          <w:sz w:val="24"/>
          <w:szCs w:val="24"/>
          <w:lang w:val="es-ES" w:eastAsia="es-CO"/>
        </w:rPr>
        <w:t>hacerlo antes de esa fecha</w:t>
      </w:r>
      <w:r w:rsidR="47A7E95B" w:rsidRPr="00410D6F">
        <w:rPr>
          <w:rFonts w:ascii="Arial" w:hAnsi="Arial" w:cs="Arial"/>
          <w:sz w:val="24"/>
          <w:szCs w:val="24"/>
          <w:lang w:val="es-ES" w:eastAsia="es-CO"/>
        </w:rPr>
        <w:t>.</w:t>
      </w:r>
    </w:p>
    <w:p w14:paraId="67AD81F1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b/>
          <w:sz w:val="24"/>
          <w:szCs w:val="24"/>
          <w:lang w:val="es-CO" w:eastAsia="es-CO"/>
        </w:rPr>
      </w:pPr>
    </w:p>
    <w:p w14:paraId="065EF42A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410D6F">
        <w:rPr>
          <w:rFonts w:ascii="Arial" w:hAnsi="Arial" w:cs="Arial"/>
          <w:sz w:val="24"/>
          <w:szCs w:val="24"/>
          <w:lang w:val="es-CO" w:eastAsia="es-CO"/>
        </w:rPr>
        <w:t>La presente Circular entra en vigencia a partir de su expedición.</w:t>
      </w:r>
    </w:p>
    <w:p w14:paraId="03C99B2B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6852850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>Se anexan las paginas objeto de modificación.</w:t>
      </w:r>
    </w:p>
    <w:p w14:paraId="40C6578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1418A4CC" w14:textId="77777777" w:rsidR="001309F0" w:rsidRPr="00410D6F" w:rsidRDefault="001309F0" w:rsidP="00410D6F">
      <w:pPr>
        <w:widowControl w:val="0"/>
        <w:adjustRightInd w:val="0"/>
        <w:ind w:left="-630"/>
        <w:jc w:val="both"/>
        <w:rPr>
          <w:rFonts w:ascii="Arial" w:hAnsi="Arial" w:cs="Arial"/>
          <w:sz w:val="24"/>
          <w:szCs w:val="24"/>
          <w:lang w:val="pt-BR" w:eastAsia="es-CO"/>
        </w:rPr>
      </w:pPr>
      <w:r w:rsidRPr="00410D6F">
        <w:rPr>
          <w:rFonts w:ascii="Arial" w:hAnsi="Arial" w:cs="Arial"/>
          <w:sz w:val="24"/>
          <w:szCs w:val="24"/>
          <w:lang w:val="pt-BR" w:eastAsia="es-CO"/>
        </w:rPr>
        <w:t>Cordialmente,</w:t>
      </w:r>
    </w:p>
    <w:p w14:paraId="1076D5EB" w14:textId="1E681F6B" w:rsidR="001309F0" w:rsidRPr="00410D6F" w:rsidRDefault="001309F0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1B8A0B57" w14:textId="19E1B650" w:rsidR="00E835C4" w:rsidRPr="00410D6F" w:rsidRDefault="00E835C4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031BED43" w14:textId="6169E0C8" w:rsidR="00E835C4" w:rsidRPr="00410D6F" w:rsidRDefault="00E835C4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35E13067" w14:textId="77777777" w:rsidR="00E835C4" w:rsidRPr="00410D6F" w:rsidRDefault="00E835C4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2B38DD02" w14:textId="77777777" w:rsidR="001309F0" w:rsidRPr="00410D6F" w:rsidRDefault="001309F0" w:rsidP="00410D6F">
      <w:pPr>
        <w:widowControl w:val="0"/>
        <w:adjustRightInd w:val="0"/>
        <w:ind w:left="-630"/>
        <w:outlineLvl w:val="0"/>
        <w:rPr>
          <w:rFonts w:ascii="Arial" w:hAnsi="Arial" w:cs="Arial"/>
          <w:b/>
          <w:bCs/>
          <w:sz w:val="24"/>
          <w:szCs w:val="24"/>
          <w:lang w:val="pt-BR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pt-BR" w:eastAsia="es-CO"/>
        </w:rPr>
        <w:t>JORGE CASTAÑO GUTIÉRREZ</w:t>
      </w:r>
    </w:p>
    <w:p w14:paraId="3F835198" w14:textId="77777777" w:rsidR="001309F0" w:rsidRPr="00410D6F" w:rsidRDefault="001309F0" w:rsidP="00410D6F">
      <w:pPr>
        <w:ind w:left="-630" w:right="-160"/>
        <w:outlineLvl w:val="0"/>
        <w:rPr>
          <w:rFonts w:ascii="Arial" w:hAnsi="Arial" w:cs="Arial"/>
          <w:sz w:val="24"/>
          <w:szCs w:val="24"/>
          <w:lang w:val="pt-BR" w:eastAsia="es-CO"/>
        </w:rPr>
      </w:pPr>
      <w:r w:rsidRPr="00410D6F">
        <w:rPr>
          <w:rFonts w:ascii="Arial" w:hAnsi="Arial" w:cs="Arial"/>
          <w:sz w:val="24"/>
          <w:szCs w:val="24"/>
          <w:lang w:val="pt-BR" w:eastAsia="es-CO"/>
        </w:rPr>
        <w:t xml:space="preserve">Superintendente </w:t>
      </w:r>
      <w:r w:rsidRPr="00410D6F">
        <w:rPr>
          <w:rFonts w:ascii="Arial" w:hAnsi="Arial" w:cs="Arial"/>
          <w:sz w:val="24"/>
          <w:szCs w:val="24"/>
          <w:lang w:val="es-ES" w:eastAsia="es-CO"/>
        </w:rPr>
        <w:t>Financiero</w:t>
      </w:r>
    </w:p>
    <w:p w14:paraId="44E871BC" w14:textId="1DDAD1ED" w:rsidR="00B51F39" w:rsidRPr="00410D6F" w:rsidRDefault="001309F0" w:rsidP="00410D6F">
      <w:pPr>
        <w:ind w:left="-630" w:right="-160"/>
        <w:rPr>
          <w:rFonts w:ascii="Arial" w:hAnsi="Arial" w:cs="Arial"/>
          <w:sz w:val="24"/>
          <w:szCs w:val="28"/>
          <w:lang w:val="es-CO"/>
        </w:rPr>
      </w:pPr>
      <w:r w:rsidRPr="00410D6F">
        <w:rPr>
          <w:rFonts w:ascii="Arial" w:hAnsi="Arial" w:cs="Arial"/>
          <w:sz w:val="24"/>
          <w:szCs w:val="24"/>
          <w:lang w:val="pt-BR" w:eastAsia="es-CO"/>
        </w:rPr>
        <w:t>50000</w:t>
      </w:r>
    </w:p>
    <w:sectPr w:rsidR="00B51F39" w:rsidRPr="00410D6F" w:rsidSect="00B56B50">
      <w:headerReference w:type="default" r:id="rId10"/>
      <w:footerReference w:type="default" r:id="rId11"/>
      <w:headerReference w:type="first" r:id="rId12"/>
      <w:footerReference w:type="first" r:id="rId13"/>
      <w:pgSz w:w="12242" w:h="18722" w:code="14"/>
      <w:pgMar w:top="1800" w:right="1701" w:bottom="1701" w:left="2268" w:header="737" w:footer="68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954B" w14:textId="77777777" w:rsidR="00BF3418" w:rsidRDefault="00BF3418">
      <w:r>
        <w:separator/>
      </w:r>
    </w:p>
  </w:endnote>
  <w:endnote w:type="continuationSeparator" w:id="0">
    <w:p w14:paraId="54F997DD" w14:textId="77777777" w:rsidR="00BF3418" w:rsidRDefault="00BF3418">
      <w:r>
        <w:continuationSeparator/>
      </w:r>
    </w:p>
  </w:endnote>
  <w:endnote w:type="continuationNotice" w:id="1">
    <w:p w14:paraId="71F63094" w14:textId="77777777" w:rsidR="00BF3418" w:rsidRDefault="00BF3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686E39" w:rsidRDefault="00686E39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769D0D3C" w14:textId="77777777" w:rsidR="00686E39" w:rsidRDefault="00686E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686E39" w:rsidRDefault="00686E39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2BA226A1" w14:textId="77777777" w:rsidR="00686E39" w:rsidRDefault="00686E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C1B4" w14:textId="77777777" w:rsidR="00BF3418" w:rsidRDefault="00BF3418">
      <w:r>
        <w:separator/>
      </w:r>
    </w:p>
  </w:footnote>
  <w:footnote w:type="continuationSeparator" w:id="0">
    <w:p w14:paraId="3AF6B1BC" w14:textId="77777777" w:rsidR="00BF3418" w:rsidRDefault="00BF3418">
      <w:r>
        <w:continuationSeparator/>
      </w:r>
    </w:p>
  </w:footnote>
  <w:footnote w:type="continuationNotice" w:id="1">
    <w:p w14:paraId="0A74E050" w14:textId="77777777" w:rsidR="00BF3418" w:rsidRDefault="00BF3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A78D" w14:textId="77777777" w:rsidR="00686E39" w:rsidRDefault="00686E39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  <w:p w14:paraId="463F29E8" w14:textId="5F8C6D7E" w:rsidR="00686E39" w:rsidRDefault="00686E39">
    <w:pPr>
      <w:pStyle w:val="Encabezado"/>
      <w:jc w:val="center"/>
      <w:rPr>
        <w:rFonts w:ascii="Arial" w:hAnsi="Arial" w:cs="Arial"/>
        <w:b/>
        <w:bCs/>
        <w:sz w:val="24"/>
        <w:szCs w:val="24"/>
        <w:lang w:val="es-CO"/>
      </w:rPr>
    </w:pPr>
  </w:p>
  <w:p w14:paraId="29517416" w14:textId="77777777" w:rsidR="004C28F1" w:rsidRDefault="004C28F1">
    <w:pPr>
      <w:pStyle w:val="Encabezado"/>
      <w:jc w:val="center"/>
      <w:rPr>
        <w:rFonts w:ascii="Arial" w:hAnsi="Arial" w:cs="Arial"/>
        <w:b/>
        <w:bCs/>
        <w:sz w:val="24"/>
        <w:szCs w:val="24"/>
        <w:lang w:val="es-CO"/>
      </w:rPr>
    </w:pPr>
  </w:p>
  <w:p w14:paraId="178D78F1" w14:textId="30C3034F" w:rsidR="00686E39" w:rsidRDefault="004C28F1" w:rsidP="004C28F1">
    <w:pPr>
      <w:pStyle w:val="Encabezado"/>
      <w:tabs>
        <w:tab w:val="center" w:pos="4135"/>
        <w:tab w:val="right" w:pos="8271"/>
      </w:tabs>
      <w:ind w:left="-426" w:hanging="141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Circular Externa</w:t>
    </w:r>
    <w:r w:rsidR="00EA3224">
      <w:rPr>
        <w:rFonts w:ascii="Arial" w:hAnsi="Arial" w:cs="Arial"/>
        <w:b/>
        <w:sz w:val="24"/>
        <w:szCs w:val="24"/>
      </w:rPr>
      <w:t xml:space="preserve"> </w:t>
    </w:r>
    <w:r w:rsidR="00860F8D">
      <w:rPr>
        <w:rFonts w:ascii="Arial" w:hAnsi="Arial" w:cs="Arial"/>
        <w:b/>
        <w:sz w:val="24"/>
        <w:szCs w:val="24"/>
      </w:rPr>
      <w:t>007</w:t>
    </w:r>
    <w:r w:rsidR="00EA3224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de 2021                                                                   Página 2</w:t>
    </w:r>
  </w:p>
  <w:p w14:paraId="3B7B4B86" w14:textId="34DF2664" w:rsidR="00686E39" w:rsidRDefault="00686E39">
    <w:pPr>
      <w:pStyle w:val="Encabezado"/>
      <w:jc w:val="both"/>
      <w:rPr>
        <w:rFonts w:ascii="Arial" w:hAnsi="Arial" w:cs="Arial"/>
        <w:b/>
        <w:bCs/>
        <w:sz w:val="24"/>
        <w:szCs w:val="24"/>
      </w:rPr>
    </w:pPr>
  </w:p>
  <w:p w14:paraId="6FD09F38" w14:textId="77777777" w:rsidR="004C28F1" w:rsidRPr="000414B7" w:rsidRDefault="004C28F1">
    <w:pPr>
      <w:pStyle w:val="Encabezado"/>
      <w:jc w:val="both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C6A1" w14:textId="77777777" w:rsidR="00EA3224" w:rsidRDefault="00EA3224" w:rsidP="00E835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296FEF7D" w14:textId="6691A09E" w:rsidR="00686E39" w:rsidRDefault="00B56B50" w:rsidP="00E835C4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5D0C1AF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hybridMultilevel"/>
    <w:tmpl w:val="EDF2FD7A"/>
    <w:lvl w:ilvl="0" w:tplc="F5BCAF84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9C2BDFA">
      <w:numFmt w:val="decimal"/>
      <w:lvlText w:val=""/>
      <w:lvlJc w:val="left"/>
    </w:lvl>
    <w:lvl w:ilvl="2" w:tplc="94168E92">
      <w:numFmt w:val="decimal"/>
      <w:lvlText w:val=""/>
      <w:lvlJc w:val="left"/>
    </w:lvl>
    <w:lvl w:ilvl="3" w:tplc="F8E87058">
      <w:numFmt w:val="decimal"/>
      <w:lvlText w:val=""/>
      <w:lvlJc w:val="left"/>
    </w:lvl>
    <w:lvl w:ilvl="4" w:tplc="7988D5CA">
      <w:numFmt w:val="decimal"/>
      <w:lvlText w:val=""/>
      <w:lvlJc w:val="left"/>
    </w:lvl>
    <w:lvl w:ilvl="5" w:tplc="4196A414">
      <w:numFmt w:val="decimal"/>
      <w:lvlText w:val=""/>
      <w:lvlJc w:val="left"/>
    </w:lvl>
    <w:lvl w:ilvl="6" w:tplc="2E085EB2">
      <w:numFmt w:val="decimal"/>
      <w:lvlText w:val=""/>
      <w:lvlJc w:val="left"/>
    </w:lvl>
    <w:lvl w:ilvl="7" w:tplc="3738A8EE">
      <w:numFmt w:val="decimal"/>
      <w:lvlText w:val=""/>
      <w:lvlJc w:val="left"/>
    </w:lvl>
    <w:lvl w:ilvl="8" w:tplc="37AE8D3E">
      <w:numFmt w:val="decimal"/>
      <w:lvlText w:val=""/>
      <w:lvlJc w:val="left"/>
    </w:lvl>
  </w:abstractNum>
  <w:abstractNum w:abstractNumId="2" w15:restartNumberingAfterBreak="0">
    <w:nsid w:val="FFFFFF83"/>
    <w:multiLevelType w:val="hybridMultilevel"/>
    <w:tmpl w:val="2E8C2D0C"/>
    <w:lvl w:ilvl="0" w:tplc="2C44BB4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54C2DA">
      <w:numFmt w:val="decimal"/>
      <w:lvlText w:val=""/>
      <w:lvlJc w:val="left"/>
    </w:lvl>
    <w:lvl w:ilvl="2" w:tplc="A1C81926">
      <w:numFmt w:val="decimal"/>
      <w:lvlText w:val=""/>
      <w:lvlJc w:val="left"/>
    </w:lvl>
    <w:lvl w:ilvl="3" w:tplc="2ABA8D0A">
      <w:numFmt w:val="decimal"/>
      <w:lvlText w:val=""/>
      <w:lvlJc w:val="left"/>
    </w:lvl>
    <w:lvl w:ilvl="4" w:tplc="1AD49AE8">
      <w:numFmt w:val="decimal"/>
      <w:lvlText w:val=""/>
      <w:lvlJc w:val="left"/>
    </w:lvl>
    <w:lvl w:ilvl="5" w:tplc="3482DCCE">
      <w:numFmt w:val="decimal"/>
      <w:lvlText w:val=""/>
      <w:lvlJc w:val="left"/>
    </w:lvl>
    <w:lvl w:ilvl="6" w:tplc="60261B84">
      <w:numFmt w:val="decimal"/>
      <w:lvlText w:val=""/>
      <w:lvlJc w:val="left"/>
    </w:lvl>
    <w:lvl w:ilvl="7" w:tplc="EBE44B56">
      <w:numFmt w:val="decimal"/>
      <w:lvlText w:val=""/>
      <w:lvlJc w:val="left"/>
    </w:lvl>
    <w:lvl w:ilvl="8" w:tplc="AC98DD9E">
      <w:numFmt w:val="decimal"/>
      <w:lvlText w:val=""/>
      <w:lvlJc w:val="left"/>
    </w:lvl>
  </w:abstractNum>
  <w:abstractNum w:abstractNumId="3" w15:restartNumberingAfterBreak="0">
    <w:nsid w:val="FFFFFF89"/>
    <w:multiLevelType w:val="hybridMultilevel"/>
    <w:tmpl w:val="D88E663A"/>
    <w:lvl w:ilvl="0" w:tplc="BA40C738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8AC808">
      <w:numFmt w:val="decimal"/>
      <w:lvlText w:val=""/>
      <w:lvlJc w:val="left"/>
    </w:lvl>
    <w:lvl w:ilvl="2" w:tplc="68588E0E">
      <w:numFmt w:val="decimal"/>
      <w:lvlText w:val=""/>
      <w:lvlJc w:val="left"/>
    </w:lvl>
    <w:lvl w:ilvl="3" w:tplc="19201FA0">
      <w:numFmt w:val="decimal"/>
      <w:lvlText w:val=""/>
      <w:lvlJc w:val="left"/>
    </w:lvl>
    <w:lvl w:ilvl="4" w:tplc="B6069674">
      <w:numFmt w:val="decimal"/>
      <w:lvlText w:val=""/>
      <w:lvlJc w:val="left"/>
    </w:lvl>
    <w:lvl w:ilvl="5" w:tplc="5BA0664C">
      <w:numFmt w:val="decimal"/>
      <w:lvlText w:val=""/>
      <w:lvlJc w:val="left"/>
    </w:lvl>
    <w:lvl w:ilvl="6" w:tplc="D17ADC3E">
      <w:numFmt w:val="decimal"/>
      <w:lvlText w:val=""/>
      <w:lvlJc w:val="left"/>
    </w:lvl>
    <w:lvl w:ilvl="7" w:tplc="BB8EB88C">
      <w:numFmt w:val="decimal"/>
      <w:lvlText w:val=""/>
      <w:lvlJc w:val="left"/>
    </w:lvl>
    <w:lvl w:ilvl="8" w:tplc="59903CF6">
      <w:numFmt w:val="decimal"/>
      <w:lvlText w:val=""/>
      <w:lvlJc w:val="left"/>
    </w:lvl>
  </w:abstractNum>
  <w:abstractNum w:abstractNumId="4" w15:restartNumberingAfterBreak="0">
    <w:nsid w:val="09B34927"/>
    <w:multiLevelType w:val="hybridMultilevel"/>
    <w:tmpl w:val="30DCF9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3A01D9"/>
    <w:multiLevelType w:val="hybridMultilevel"/>
    <w:tmpl w:val="0B922468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12D9E"/>
    <w:multiLevelType w:val="hybridMultilevel"/>
    <w:tmpl w:val="6BB0E0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D0B79"/>
    <w:multiLevelType w:val="hybridMultilevel"/>
    <w:tmpl w:val="E44CFC8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2A512A"/>
    <w:multiLevelType w:val="hybridMultilevel"/>
    <w:tmpl w:val="8A0E9E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91A1E"/>
    <w:multiLevelType w:val="hybridMultilevel"/>
    <w:tmpl w:val="53F436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A44CB"/>
    <w:multiLevelType w:val="hybridMultilevel"/>
    <w:tmpl w:val="CF5C7240"/>
    <w:lvl w:ilvl="0" w:tplc="BF164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134F7"/>
    <w:multiLevelType w:val="hybridMultilevel"/>
    <w:tmpl w:val="3E8E1808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3A7546"/>
    <w:multiLevelType w:val="hybridMultilevel"/>
    <w:tmpl w:val="B2C83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104C5"/>
    <w:multiLevelType w:val="hybridMultilevel"/>
    <w:tmpl w:val="2CF89F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A0E11"/>
    <w:multiLevelType w:val="hybridMultilevel"/>
    <w:tmpl w:val="B430025A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4728A8"/>
    <w:multiLevelType w:val="hybridMultilevel"/>
    <w:tmpl w:val="CAD03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D7CDD"/>
    <w:multiLevelType w:val="hybridMultilevel"/>
    <w:tmpl w:val="E72E6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13"/>
    <w:multiLevelType w:val="hybridMultilevel"/>
    <w:tmpl w:val="8A0E9EF0"/>
    <w:lvl w:ilvl="0" w:tplc="8D56A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D08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A43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8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2A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82D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84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81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86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21AAD"/>
    <w:multiLevelType w:val="hybridMultilevel"/>
    <w:tmpl w:val="44862A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85712"/>
    <w:multiLevelType w:val="hybridMultilevel"/>
    <w:tmpl w:val="A54CEF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3EF"/>
    <w:multiLevelType w:val="hybridMultilevel"/>
    <w:tmpl w:val="EFCE72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D43CF"/>
    <w:multiLevelType w:val="hybridMultilevel"/>
    <w:tmpl w:val="445AA5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7B0AFD"/>
    <w:multiLevelType w:val="hybridMultilevel"/>
    <w:tmpl w:val="972274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FF01A2"/>
    <w:multiLevelType w:val="hybridMultilevel"/>
    <w:tmpl w:val="8B5E3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A6D62"/>
    <w:multiLevelType w:val="multilevel"/>
    <w:tmpl w:val="5C7E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DAD693B"/>
    <w:multiLevelType w:val="hybridMultilevel"/>
    <w:tmpl w:val="AE50D6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70876"/>
    <w:multiLevelType w:val="hybridMultilevel"/>
    <w:tmpl w:val="938E1D16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CC4116"/>
    <w:multiLevelType w:val="hybridMultilevel"/>
    <w:tmpl w:val="5B54F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624985"/>
    <w:multiLevelType w:val="hybridMultilevel"/>
    <w:tmpl w:val="5E8EE6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006FA"/>
    <w:multiLevelType w:val="hybridMultilevel"/>
    <w:tmpl w:val="C64849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3088C"/>
    <w:multiLevelType w:val="hybridMultilevel"/>
    <w:tmpl w:val="4498F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CC629C"/>
    <w:multiLevelType w:val="hybridMultilevel"/>
    <w:tmpl w:val="9D9A8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F5CA5"/>
    <w:multiLevelType w:val="hybridMultilevel"/>
    <w:tmpl w:val="F6245B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2B513A"/>
    <w:multiLevelType w:val="hybridMultilevel"/>
    <w:tmpl w:val="1904F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51AEE"/>
    <w:multiLevelType w:val="hybridMultilevel"/>
    <w:tmpl w:val="C7A4767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5" w15:restartNumberingAfterBreak="0">
    <w:nsid w:val="516C7077"/>
    <w:multiLevelType w:val="hybridMultilevel"/>
    <w:tmpl w:val="6106B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64E09"/>
    <w:multiLevelType w:val="hybridMultilevel"/>
    <w:tmpl w:val="C7F48FBC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D113109"/>
    <w:multiLevelType w:val="hybridMultilevel"/>
    <w:tmpl w:val="CC52EF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216F8F"/>
    <w:multiLevelType w:val="hybridMultilevel"/>
    <w:tmpl w:val="25CC76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04CF4"/>
    <w:multiLevelType w:val="hybridMultilevel"/>
    <w:tmpl w:val="F09C19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0E4B8E"/>
    <w:multiLevelType w:val="hybridMultilevel"/>
    <w:tmpl w:val="6AB2C9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6B3339"/>
    <w:multiLevelType w:val="multilevel"/>
    <w:tmpl w:val="03A07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7C28A3"/>
    <w:multiLevelType w:val="hybridMultilevel"/>
    <w:tmpl w:val="A3FA5AAA"/>
    <w:lvl w:ilvl="0" w:tplc="8014046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14ECA26">
      <w:numFmt w:val="none"/>
      <w:lvlText w:val=""/>
      <w:lvlJc w:val="left"/>
      <w:pPr>
        <w:tabs>
          <w:tab w:val="num" w:pos="360"/>
        </w:tabs>
      </w:pPr>
    </w:lvl>
    <w:lvl w:ilvl="2" w:tplc="CB1A406C">
      <w:numFmt w:val="none"/>
      <w:lvlText w:val=""/>
      <w:lvlJc w:val="left"/>
      <w:pPr>
        <w:tabs>
          <w:tab w:val="num" w:pos="360"/>
        </w:tabs>
      </w:pPr>
    </w:lvl>
    <w:lvl w:ilvl="3" w:tplc="E1AC11EE">
      <w:numFmt w:val="none"/>
      <w:lvlText w:val=""/>
      <w:lvlJc w:val="left"/>
      <w:pPr>
        <w:tabs>
          <w:tab w:val="num" w:pos="360"/>
        </w:tabs>
      </w:pPr>
    </w:lvl>
    <w:lvl w:ilvl="4" w:tplc="48262BF2">
      <w:numFmt w:val="none"/>
      <w:lvlText w:val=""/>
      <w:lvlJc w:val="left"/>
      <w:pPr>
        <w:tabs>
          <w:tab w:val="num" w:pos="360"/>
        </w:tabs>
      </w:pPr>
    </w:lvl>
    <w:lvl w:ilvl="5" w:tplc="2BACD2E4">
      <w:numFmt w:val="none"/>
      <w:lvlText w:val=""/>
      <w:lvlJc w:val="left"/>
      <w:pPr>
        <w:tabs>
          <w:tab w:val="num" w:pos="360"/>
        </w:tabs>
      </w:pPr>
    </w:lvl>
    <w:lvl w:ilvl="6" w:tplc="F32ED814">
      <w:numFmt w:val="none"/>
      <w:lvlText w:val=""/>
      <w:lvlJc w:val="left"/>
      <w:pPr>
        <w:tabs>
          <w:tab w:val="num" w:pos="360"/>
        </w:tabs>
      </w:pPr>
    </w:lvl>
    <w:lvl w:ilvl="7" w:tplc="F6106BE8">
      <w:numFmt w:val="none"/>
      <w:lvlText w:val=""/>
      <w:lvlJc w:val="left"/>
      <w:pPr>
        <w:tabs>
          <w:tab w:val="num" w:pos="360"/>
        </w:tabs>
      </w:pPr>
    </w:lvl>
    <w:lvl w:ilvl="8" w:tplc="328ED670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56862E7"/>
    <w:multiLevelType w:val="hybridMultilevel"/>
    <w:tmpl w:val="FA3680B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D31AA8"/>
    <w:multiLevelType w:val="hybridMultilevel"/>
    <w:tmpl w:val="8AE025F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ED3412C"/>
    <w:multiLevelType w:val="hybridMultilevel"/>
    <w:tmpl w:val="9B2A11D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27"/>
  </w:num>
  <w:num w:numId="4">
    <w:abstractNumId w:val="2"/>
  </w:num>
  <w:num w:numId="5">
    <w:abstractNumId w:val="1"/>
  </w:num>
  <w:num w:numId="6">
    <w:abstractNumId w:val="0"/>
  </w:num>
  <w:num w:numId="7">
    <w:abstractNumId w:val="43"/>
  </w:num>
  <w:num w:numId="8">
    <w:abstractNumId w:val="12"/>
  </w:num>
  <w:num w:numId="9">
    <w:abstractNumId w:val="36"/>
  </w:num>
  <w:num w:numId="10">
    <w:abstractNumId w:val="14"/>
  </w:num>
  <w:num w:numId="11">
    <w:abstractNumId w:val="26"/>
  </w:num>
  <w:num w:numId="12">
    <w:abstractNumId w:val="5"/>
  </w:num>
  <w:num w:numId="13">
    <w:abstractNumId w:val="18"/>
  </w:num>
  <w:num w:numId="14">
    <w:abstractNumId w:val="25"/>
  </w:num>
  <w:num w:numId="15">
    <w:abstractNumId w:val="11"/>
  </w:num>
  <w:num w:numId="16">
    <w:abstractNumId w:val="13"/>
  </w:num>
  <w:num w:numId="17">
    <w:abstractNumId w:val="8"/>
  </w:num>
  <w:num w:numId="18">
    <w:abstractNumId w:val="45"/>
  </w:num>
  <w:num w:numId="19">
    <w:abstractNumId w:val="38"/>
  </w:num>
  <w:num w:numId="20">
    <w:abstractNumId w:val="20"/>
  </w:num>
  <w:num w:numId="21">
    <w:abstractNumId w:val="15"/>
  </w:num>
  <w:num w:numId="22">
    <w:abstractNumId w:val="16"/>
  </w:num>
  <w:num w:numId="23">
    <w:abstractNumId w:val="7"/>
  </w:num>
  <w:num w:numId="24">
    <w:abstractNumId w:val="24"/>
  </w:num>
  <w:num w:numId="25">
    <w:abstractNumId w:val="37"/>
  </w:num>
  <w:num w:numId="26">
    <w:abstractNumId w:val="23"/>
  </w:num>
  <w:num w:numId="27">
    <w:abstractNumId w:val="44"/>
  </w:num>
  <w:num w:numId="28">
    <w:abstractNumId w:val="6"/>
  </w:num>
  <w:num w:numId="29">
    <w:abstractNumId w:val="21"/>
  </w:num>
  <w:num w:numId="30">
    <w:abstractNumId w:val="19"/>
  </w:num>
  <w:num w:numId="31">
    <w:abstractNumId w:val="39"/>
  </w:num>
  <w:num w:numId="32">
    <w:abstractNumId w:val="32"/>
  </w:num>
  <w:num w:numId="33">
    <w:abstractNumId w:val="4"/>
  </w:num>
  <w:num w:numId="34">
    <w:abstractNumId w:val="29"/>
  </w:num>
  <w:num w:numId="35">
    <w:abstractNumId w:val="9"/>
  </w:num>
  <w:num w:numId="36">
    <w:abstractNumId w:val="28"/>
  </w:num>
  <w:num w:numId="37">
    <w:abstractNumId w:val="34"/>
  </w:num>
  <w:num w:numId="38">
    <w:abstractNumId w:val="22"/>
  </w:num>
  <w:num w:numId="39">
    <w:abstractNumId w:val="31"/>
  </w:num>
  <w:num w:numId="40">
    <w:abstractNumId w:val="41"/>
  </w:num>
  <w:num w:numId="41">
    <w:abstractNumId w:val="17"/>
  </w:num>
  <w:num w:numId="42">
    <w:abstractNumId w:val="30"/>
  </w:num>
  <w:num w:numId="43">
    <w:abstractNumId w:val="3"/>
  </w:num>
  <w:num w:numId="44">
    <w:abstractNumId w:val="35"/>
  </w:num>
  <w:num w:numId="45">
    <w:abstractNumId w:val="4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5"/>
    <w:rsid w:val="00022F23"/>
    <w:rsid w:val="00026223"/>
    <w:rsid w:val="000414B7"/>
    <w:rsid w:val="00043B3D"/>
    <w:rsid w:val="00047316"/>
    <w:rsid w:val="000550F5"/>
    <w:rsid w:val="000779CA"/>
    <w:rsid w:val="0008584D"/>
    <w:rsid w:val="000A622D"/>
    <w:rsid w:val="000B5678"/>
    <w:rsid w:val="000D147B"/>
    <w:rsid w:val="000F6CB5"/>
    <w:rsid w:val="00100E75"/>
    <w:rsid w:val="00120DA4"/>
    <w:rsid w:val="001309F0"/>
    <w:rsid w:val="0013421C"/>
    <w:rsid w:val="001543F0"/>
    <w:rsid w:val="001570E2"/>
    <w:rsid w:val="001633B9"/>
    <w:rsid w:val="00190EE7"/>
    <w:rsid w:val="001C4E67"/>
    <w:rsid w:val="001D3081"/>
    <w:rsid w:val="00224433"/>
    <w:rsid w:val="002446F6"/>
    <w:rsid w:val="002A3FA4"/>
    <w:rsid w:val="002B6E99"/>
    <w:rsid w:val="002F4A2A"/>
    <w:rsid w:val="00305E02"/>
    <w:rsid w:val="00313F2E"/>
    <w:rsid w:val="00316E05"/>
    <w:rsid w:val="00346477"/>
    <w:rsid w:val="0037411F"/>
    <w:rsid w:val="00374F5A"/>
    <w:rsid w:val="003760B7"/>
    <w:rsid w:val="0038426E"/>
    <w:rsid w:val="003870A8"/>
    <w:rsid w:val="00387DE5"/>
    <w:rsid w:val="003918C3"/>
    <w:rsid w:val="00391A33"/>
    <w:rsid w:val="003C1EDF"/>
    <w:rsid w:val="003D4522"/>
    <w:rsid w:val="003E3CC3"/>
    <w:rsid w:val="00404235"/>
    <w:rsid w:val="004043B0"/>
    <w:rsid w:val="0040661C"/>
    <w:rsid w:val="00410CAB"/>
    <w:rsid w:val="00410D6F"/>
    <w:rsid w:val="00414B14"/>
    <w:rsid w:val="00422E24"/>
    <w:rsid w:val="004312D8"/>
    <w:rsid w:val="00451E47"/>
    <w:rsid w:val="004737AA"/>
    <w:rsid w:val="004B0EFB"/>
    <w:rsid w:val="004C2087"/>
    <w:rsid w:val="004C28F1"/>
    <w:rsid w:val="004C4C68"/>
    <w:rsid w:val="004D5BBF"/>
    <w:rsid w:val="004E39D8"/>
    <w:rsid w:val="004F111A"/>
    <w:rsid w:val="00500862"/>
    <w:rsid w:val="00501969"/>
    <w:rsid w:val="00502BE2"/>
    <w:rsid w:val="00513233"/>
    <w:rsid w:val="00520D97"/>
    <w:rsid w:val="0052666F"/>
    <w:rsid w:val="005272FA"/>
    <w:rsid w:val="00564B20"/>
    <w:rsid w:val="00581497"/>
    <w:rsid w:val="00592A99"/>
    <w:rsid w:val="005A4865"/>
    <w:rsid w:val="005B19E7"/>
    <w:rsid w:val="005B22B4"/>
    <w:rsid w:val="005B5444"/>
    <w:rsid w:val="005D51F0"/>
    <w:rsid w:val="005E1200"/>
    <w:rsid w:val="005E77F3"/>
    <w:rsid w:val="005F39CE"/>
    <w:rsid w:val="00610908"/>
    <w:rsid w:val="00621A24"/>
    <w:rsid w:val="0064423D"/>
    <w:rsid w:val="00655C9D"/>
    <w:rsid w:val="006611AD"/>
    <w:rsid w:val="00664B83"/>
    <w:rsid w:val="006716AD"/>
    <w:rsid w:val="00672F08"/>
    <w:rsid w:val="00686E39"/>
    <w:rsid w:val="006B29A5"/>
    <w:rsid w:val="006B56BB"/>
    <w:rsid w:val="006C2208"/>
    <w:rsid w:val="006D2615"/>
    <w:rsid w:val="006D42A3"/>
    <w:rsid w:val="006E5D34"/>
    <w:rsid w:val="006F70A6"/>
    <w:rsid w:val="007228D8"/>
    <w:rsid w:val="007368A1"/>
    <w:rsid w:val="0075215C"/>
    <w:rsid w:val="007A55C7"/>
    <w:rsid w:val="007C0F8A"/>
    <w:rsid w:val="007E4209"/>
    <w:rsid w:val="007F77DE"/>
    <w:rsid w:val="00804C62"/>
    <w:rsid w:val="008078CF"/>
    <w:rsid w:val="00813305"/>
    <w:rsid w:val="0081388E"/>
    <w:rsid w:val="00815E25"/>
    <w:rsid w:val="00820B7B"/>
    <w:rsid w:val="00824B7C"/>
    <w:rsid w:val="00836A72"/>
    <w:rsid w:val="0084010C"/>
    <w:rsid w:val="008443EF"/>
    <w:rsid w:val="00860F8D"/>
    <w:rsid w:val="008B697F"/>
    <w:rsid w:val="008C78C6"/>
    <w:rsid w:val="008D1DF6"/>
    <w:rsid w:val="008E4990"/>
    <w:rsid w:val="008E6431"/>
    <w:rsid w:val="008F7C8D"/>
    <w:rsid w:val="00903F36"/>
    <w:rsid w:val="00944767"/>
    <w:rsid w:val="009761C2"/>
    <w:rsid w:val="009960BF"/>
    <w:rsid w:val="00997187"/>
    <w:rsid w:val="00997CB7"/>
    <w:rsid w:val="009A55F6"/>
    <w:rsid w:val="009B2B60"/>
    <w:rsid w:val="00A164B8"/>
    <w:rsid w:val="00A4745E"/>
    <w:rsid w:val="00A53326"/>
    <w:rsid w:val="00A5604B"/>
    <w:rsid w:val="00A57330"/>
    <w:rsid w:val="00A61CAF"/>
    <w:rsid w:val="00A84C1F"/>
    <w:rsid w:val="00A94DEA"/>
    <w:rsid w:val="00A96025"/>
    <w:rsid w:val="00AB1C36"/>
    <w:rsid w:val="00AC0FDE"/>
    <w:rsid w:val="00AE2901"/>
    <w:rsid w:val="00AF4C81"/>
    <w:rsid w:val="00B05C8F"/>
    <w:rsid w:val="00B14D17"/>
    <w:rsid w:val="00B51F39"/>
    <w:rsid w:val="00B56B50"/>
    <w:rsid w:val="00B641CA"/>
    <w:rsid w:val="00B93A43"/>
    <w:rsid w:val="00B95D61"/>
    <w:rsid w:val="00BA3E39"/>
    <w:rsid w:val="00BB3603"/>
    <w:rsid w:val="00BB37DA"/>
    <w:rsid w:val="00BC13D7"/>
    <w:rsid w:val="00BF1048"/>
    <w:rsid w:val="00BF3418"/>
    <w:rsid w:val="00C340E1"/>
    <w:rsid w:val="00C350E4"/>
    <w:rsid w:val="00C51012"/>
    <w:rsid w:val="00C518CA"/>
    <w:rsid w:val="00C66797"/>
    <w:rsid w:val="00C7603C"/>
    <w:rsid w:val="00C8742D"/>
    <w:rsid w:val="00C96050"/>
    <w:rsid w:val="00CA3357"/>
    <w:rsid w:val="00CB6F8A"/>
    <w:rsid w:val="00CC4604"/>
    <w:rsid w:val="00CD1B4E"/>
    <w:rsid w:val="00CD33D4"/>
    <w:rsid w:val="00CD5521"/>
    <w:rsid w:val="00CF0C2B"/>
    <w:rsid w:val="00D071C4"/>
    <w:rsid w:val="00D42523"/>
    <w:rsid w:val="00D42D4C"/>
    <w:rsid w:val="00D46E0C"/>
    <w:rsid w:val="00DB71F8"/>
    <w:rsid w:val="00DB7B95"/>
    <w:rsid w:val="00DF3624"/>
    <w:rsid w:val="00E416CF"/>
    <w:rsid w:val="00E435E8"/>
    <w:rsid w:val="00E47C9B"/>
    <w:rsid w:val="00E530A0"/>
    <w:rsid w:val="00E66DC8"/>
    <w:rsid w:val="00E7083B"/>
    <w:rsid w:val="00E77E01"/>
    <w:rsid w:val="00E835C4"/>
    <w:rsid w:val="00E84444"/>
    <w:rsid w:val="00E8735F"/>
    <w:rsid w:val="00E91ADD"/>
    <w:rsid w:val="00E93C1D"/>
    <w:rsid w:val="00E979D9"/>
    <w:rsid w:val="00EA1049"/>
    <w:rsid w:val="00EA2FDC"/>
    <w:rsid w:val="00EA3224"/>
    <w:rsid w:val="00EB26B9"/>
    <w:rsid w:val="00EC6395"/>
    <w:rsid w:val="00ED37AC"/>
    <w:rsid w:val="00EE3537"/>
    <w:rsid w:val="00EF1775"/>
    <w:rsid w:val="00F05210"/>
    <w:rsid w:val="00F27EF6"/>
    <w:rsid w:val="00F32DEC"/>
    <w:rsid w:val="00F3352D"/>
    <w:rsid w:val="00F57E68"/>
    <w:rsid w:val="00F6044F"/>
    <w:rsid w:val="00F70A31"/>
    <w:rsid w:val="00F822C8"/>
    <w:rsid w:val="00F9082E"/>
    <w:rsid w:val="00F95A19"/>
    <w:rsid w:val="00FA0F28"/>
    <w:rsid w:val="00FB36DF"/>
    <w:rsid w:val="00FB7DFB"/>
    <w:rsid w:val="00FC3F04"/>
    <w:rsid w:val="04B5342C"/>
    <w:rsid w:val="05035270"/>
    <w:rsid w:val="07A1C2BB"/>
    <w:rsid w:val="104BF964"/>
    <w:rsid w:val="14A72D36"/>
    <w:rsid w:val="1B891E59"/>
    <w:rsid w:val="1F3E02BA"/>
    <w:rsid w:val="2136C377"/>
    <w:rsid w:val="28068FD7"/>
    <w:rsid w:val="2E7F8D94"/>
    <w:rsid w:val="313CF38F"/>
    <w:rsid w:val="322781D7"/>
    <w:rsid w:val="3F51D01F"/>
    <w:rsid w:val="435A195D"/>
    <w:rsid w:val="4613E112"/>
    <w:rsid w:val="47A7E95B"/>
    <w:rsid w:val="47BBADF6"/>
    <w:rsid w:val="609F80BF"/>
    <w:rsid w:val="6348D0DD"/>
    <w:rsid w:val="64AAB221"/>
    <w:rsid w:val="667A4BBF"/>
    <w:rsid w:val="66841613"/>
    <w:rsid w:val="67DAE626"/>
    <w:rsid w:val="69BBB6D5"/>
    <w:rsid w:val="7B37D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00404B"/>
  <w15:chartTrackingRefBased/>
  <w15:docId w15:val="{3E5C989C-C350-47F4-B4D4-C983651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Puesto">
    <w:name w:val="Puesto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semiHidden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3"/>
      </w:numPr>
      <w:tabs>
        <w:tab w:val="clear" w:pos="360"/>
      </w:tabs>
      <w:ind w:left="0" w:right="51" w:firstLine="0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  <w:lang w:val="es-ES"/>
    </w:rPr>
  </w:style>
  <w:style w:type="paragraph" w:customStyle="1" w:styleId="BodyText20">
    <w:name w:val="Body Text 20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0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4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5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6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F95A19"/>
    <w:rPr>
      <w:lang w:val="es-ES_tradnl" w:eastAsia="es-ES"/>
    </w:rPr>
  </w:style>
  <w:style w:type="character" w:customStyle="1" w:styleId="PiedepginaCar">
    <w:name w:val="Pie de página Car"/>
    <w:link w:val="Piedepgina"/>
    <w:rsid w:val="00F95A19"/>
    <w:rPr>
      <w:lang w:val="es-ES_tradnl" w:eastAsia="es-ES"/>
    </w:rPr>
  </w:style>
  <w:style w:type="table" w:styleId="Tablaconcuadrcula">
    <w:name w:val="Table Grid"/>
    <w:basedOn w:val="Tablanormal"/>
    <w:rsid w:val="00F95A1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22F23"/>
  </w:style>
  <w:style w:type="character" w:styleId="Mencinsinresolver">
    <w:name w:val="Unresolved Mention"/>
    <w:basedOn w:val="Fuentedeprrafopredeter"/>
    <w:uiPriority w:val="99"/>
    <w:semiHidden/>
    <w:unhideWhenUsed/>
    <w:rsid w:val="005B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D68574237D849A835D1FFB895F586" ma:contentTypeVersion="4" ma:contentTypeDescription="Create a new document." ma:contentTypeScope="" ma:versionID="5958841fae27ea299a6d89b7e3e4f47a">
  <xsd:schema xmlns:xsd="http://www.w3.org/2001/XMLSchema" xmlns:xs="http://www.w3.org/2001/XMLSchema" xmlns:p="http://schemas.microsoft.com/office/2006/metadata/properties" xmlns:ns2="2806e0fb-3321-4a19-a0bb-629fbbee7344" xmlns:ns3="87507fc1-2ee4-4bca-8654-35e95601ee33" targetNamespace="http://schemas.microsoft.com/office/2006/metadata/properties" ma:root="true" ma:fieldsID="c4af565ebca125575291b81e0941d561" ns2:_="" ns3:_="">
    <xsd:import namespace="2806e0fb-3321-4a19-a0bb-629fbbee7344"/>
    <xsd:import namespace="87507fc1-2ee4-4bca-8654-35e95601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6e0fb-3321-4a19-a0bb-629fbbee7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07fc1-2ee4-4bca-8654-35e95601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D41F0-FBF5-470D-BB61-01418EEFFDC7}">
  <ds:schemaRefs>
    <ds:schemaRef ds:uri="http://schemas.openxmlformats.org/package/2006/metadata/core-properties"/>
    <ds:schemaRef ds:uri="2806e0fb-3321-4a19-a0bb-629fbbee7344"/>
    <ds:schemaRef ds:uri="87507fc1-2ee4-4bca-8654-35e95601ee33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5863A6-BA2D-4A4F-A428-6ED54E14E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021C-C1ED-40D3-840D-F42A2966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6e0fb-3321-4a19-a0bb-629fbbee7344"/>
    <ds:schemaRef ds:uri="87507fc1-2ee4-4bca-8654-35e95601e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 CE</vt:lpstr>
    </vt:vector>
  </TitlesOfParts>
  <Company>superfinanciera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 CE</dc:title>
  <dc:subject/>
  <dc:creator>Dirección de Investigación y Desarrollo</dc:creator>
  <cp:keywords/>
  <cp:lastModifiedBy>Gabriel Armando Ospina Garcia</cp:lastModifiedBy>
  <cp:revision>3</cp:revision>
  <cp:lastPrinted>2016-09-26T20:13:00Z</cp:lastPrinted>
  <dcterms:created xsi:type="dcterms:W3CDTF">2021-04-27T13:48:00Z</dcterms:created>
  <dcterms:modified xsi:type="dcterms:W3CDTF">2021-04-27T16:36:00Z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0x010100C0FD68574237D849A835D1FFB895F586</vt:lpwstr>
  </property>
</Properties>
</file>